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Hanoi policies on waste separation and plastic reduction</w:t>
      </w:r>
    </w:p>
    <w:p>
      <w:pPr>
        <w:spacing w:after="200"/>
      </w:pPr>
      <w:r>
        <w:rPr>
          <w:sz w:val="20"/>
        </w:rPr>
        <w:t>Policy brief  |  Updated 14 October 2026</w:t>
      </w:r>
    </w:p>
    <w:p>
      <w:r>
        <w:t>Hanoi’s current framework combines household waste separation requirements with phased restrictions on selected plastic products and packaging. Decision 87/2025/QĐ-UBND and Resolution 22/2025/NQ-HĐND are the principal municipal instruments. Implementation plans issued in 2026 address delivery, monitoring and management of collection and recycling facilities. This brief summarises the main requirements and timelines for partners working in Hanoi. [1–7]</w:t>
      </w:r>
    </w:p>
    <w:p>
      <w:pPr>
        <w:pStyle w:val="Heading1"/>
      </w:pPr>
      <w:r>
        <w:t>Key municipal instruments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83"/>
        <w:gridCol w:w="1469"/>
        <w:gridCol w:w="5472"/>
      </w:tblGrid>
      <w:tr>
        <w:trPr>
          <w:cantSplit/>
          <w:tblHeader/>
        </w:trPr>
        <w:tc>
          <w:tcPr>
            <w:tcW w:type="dxa" w:w="3283"/>
            <w:vAlign w:val="center"/>
            <w:tcMar>
              <w:top w:w="95" w:type="dxa"/>
              <w:bottom w:w="95" w:type="dxa"/>
              <w:left w:w="110" w:type="dxa"/>
              <w:right w:w="110" w:type="dxa"/>
            </w:tcMar>
            <w:shd w:fill="DCE6EF"/>
          </w:tcPr>
          <w:p>
            <w:pPr>
              <w:keepNext w:val="0"/>
              <w:spacing w:after="0" w:line="250" w:lineRule="auto"/>
            </w:pPr>
            <w:r>
              <w:rPr>
                <w:b/>
                <w:color w:val="000000"/>
                <w:sz w:val="20"/>
              </w:rPr>
              <w:t>Instrument</w:t>
            </w:r>
          </w:p>
        </w:tc>
        <w:tc>
          <w:tcPr>
            <w:tcW w:type="dxa" w:w="1469"/>
            <w:vAlign w:val="center"/>
            <w:tcMar>
              <w:top w:w="95" w:type="dxa"/>
              <w:bottom w:w="95" w:type="dxa"/>
              <w:left w:w="110" w:type="dxa"/>
              <w:right w:w="110" w:type="dxa"/>
            </w:tcMar>
            <w:shd w:fill="DCE6EF"/>
          </w:tcPr>
          <w:p>
            <w:pPr>
              <w:keepNext w:val="0"/>
              <w:spacing w:after="0" w:line="250" w:lineRule="auto"/>
              <w:jc w:val="center"/>
            </w:pPr>
            <w:r>
              <w:rPr>
                <w:b/>
                <w:color w:val="000000"/>
                <w:sz w:val="20"/>
              </w:rPr>
              <w:t>Date</w:t>
            </w:r>
          </w:p>
        </w:tc>
        <w:tc>
          <w:tcPr>
            <w:tcW w:type="dxa" w:w="5472"/>
            <w:vAlign w:val="center"/>
            <w:tcMar>
              <w:top w:w="95" w:type="dxa"/>
              <w:bottom w:w="95" w:type="dxa"/>
              <w:left w:w="110" w:type="dxa"/>
              <w:right w:w="110" w:type="dxa"/>
            </w:tcMar>
            <w:shd w:fill="DCE6EF"/>
          </w:tcPr>
          <w:p>
            <w:pPr>
              <w:keepNext w:val="0"/>
              <w:spacing w:after="0" w:line="250" w:lineRule="auto"/>
            </w:pPr>
            <w:r>
              <w:rPr>
                <w:b/>
                <w:color w:val="000000"/>
                <w:sz w:val="20"/>
              </w:rPr>
              <w:t>Main provisions</w:t>
            </w:r>
          </w:p>
        </w:tc>
      </w:tr>
      <w:tr>
        <w:trPr>
          <w:cantSplit/>
        </w:trPr>
        <w:tc>
          <w:tcPr>
            <w:tcW w:type="dxa" w:w="3283"/>
            <w:vAlign w:val="center"/>
            <w:tcMar>
              <w:top w:w="95" w:type="dxa"/>
              <w:bottom w:w="95" w:type="dxa"/>
              <w:left w:w="110" w:type="dxa"/>
              <w:right w:w="110" w:type="dxa"/>
            </w:tcMar>
            <w:shd w:fill="FFFFFF"/>
          </w:tcPr>
          <w:p>
            <w:pPr>
              <w:keepNext w:val="0"/>
              <w:spacing w:after="0" w:line="250" w:lineRule="auto"/>
            </w:pPr>
            <w:r>
              <w:rPr>
                <w:b w:val="0"/>
                <w:color w:val="000000"/>
                <w:sz w:val="20"/>
              </w:rPr>
              <w:t>Decision 87/2025/QĐ-UBND</w:t>
              <w:br/>
              <w:t>Household and individual domestic solid waste management [1]</w:t>
            </w:r>
          </w:p>
        </w:tc>
        <w:tc>
          <w:tcPr>
            <w:tcW w:type="dxa" w:w="1469"/>
            <w:vAlign w:val="center"/>
            <w:tcMar>
              <w:top w:w="95" w:type="dxa"/>
              <w:bottom w:w="95" w:type="dxa"/>
              <w:left w:w="110" w:type="dxa"/>
              <w:right w:w="110" w:type="dxa"/>
            </w:tcMar>
            <w:shd w:fill="FFFFFF"/>
          </w:tcPr>
          <w:p>
            <w:pPr>
              <w:keepNext w:val="0"/>
              <w:spacing w:after="0" w:line="250" w:lineRule="auto"/>
              <w:jc w:val="center"/>
            </w:pPr>
            <w:r>
              <w:rPr>
                <w:b w:val="0"/>
                <w:color w:val="000000"/>
                <w:sz w:val="20"/>
              </w:rPr>
              <w:t>Issued</w:t>
              <w:br/>
              <w:t>29 Dec 2025</w:t>
              <w:br/>
              <w:t>Effective</w:t>
              <w:br/>
              <w:t>8 Jan 2026</w:t>
            </w:r>
          </w:p>
        </w:tc>
        <w:tc>
          <w:tcPr>
            <w:tcW w:type="dxa" w:w="5472"/>
            <w:vAlign w:val="center"/>
            <w:tcMar>
              <w:top w:w="95" w:type="dxa"/>
              <w:bottom w:w="95" w:type="dxa"/>
              <w:left w:w="110" w:type="dxa"/>
              <w:right w:w="110" w:type="dxa"/>
            </w:tcMar>
            <w:shd w:fill="FFFFFF"/>
          </w:tcPr>
          <w:p>
            <w:pPr>
              <w:keepNext w:val="0"/>
              <w:spacing w:after="0" w:line="250" w:lineRule="auto"/>
            </w:pPr>
            <w:r>
              <w:rPr>
                <w:b w:val="0"/>
                <w:color w:val="000000"/>
                <w:sz w:val="20"/>
              </w:rPr>
              <w:t>Regulates source separation, storage, handover, collection, treatment and service charging for domestic solid waste.</w:t>
            </w:r>
          </w:p>
        </w:tc>
      </w:tr>
      <w:tr>
        <w:trPr>
          <w:cantSplit/>
        </w:trPr>
        <w:tc>
          <w:tcPr>
            <w:tcW w:type="dxa" w:w="3283"/>
            <w:vAlign w:val="center"/>
            <w:tcMar>
              <w:top w:w="95" w:type="dxa"/>
              <w:bottom w:w="95" w:type="dxa"/>
              <w:left w:w="110" w:type="dxa"/>
              <w:right w:w="110" w:type="dxa"/>
            </w:tcMar>
            <w:shd w:fill="F6F8FA"/>
          </w:tcPr>
          <w:p>
            <w:pPr>
              <w:keepNext w:val="0"/>
              <w:spacing w:after="0" w:line="250" w:lineRule="auto"/>
            </w:pPr>
            <w:r>
              <w:rPr>
                <w:b w:val="0"/>
                <w:color w:val="000000"/>
                <w:sz w:val="20"/>
              </w:rPr>
              <w:t>Resolution 22/2025/NQ-HĐND</w:t>
              <w:br/>
              <w:t>Measures to reduce plastic emissions [2]</w:t>
            </w:r>
          </w:p>
        </w:tc>
        <w:tc>
          <w:tcPr>
            <w:tcW w:type="dxa" w:w="1469"/>
            <w:vAlign w:val="center"/>
            <w:tcMar>
              <w:top w:w="95" w:type="dxa"/>
              <w:bottom w:w="95" w:type="dxa"/>
              <w:left w:w="110" w:type="dxa"/>
              <w:right w:w="110" w:type="dxa"/>
            </w:tcMar>
            <w:shd w:fill="F6F8FA"/>
          </w:tcPr>
          <w:p>
            <w:pPr>
              <w:keepNext w:val="0"/>
              <w:spacing w:after="0" w:line="250" w:lineRule="auto"/>
              <w:jc w:val="center"/>
            </w:pPr>
            <w:r>
              <w:rPr>
                <w:b w:val="0"/>
                <w:color w:val="000000"/>
                <w:sz w:val="20"/>
              </w:rPr>
              <w:t>Issued</w:t>
              <w:br/>
              <w:t>10 Jul 2025</w:t>
              <w:br/>
              <w:t>Effective</w:t>
              <w:br/>
              <w:t>20 Jul 2025</w:t>
            </w:r>
          </w:p>
        </w:tc>
        <w:tc>
          <w:tcPr>
            <w:tcW w:type="dxa" w:w="5472"/>
            <w:vAlign w:val="center"/>
            <w:tcMar>
              <w:top w:w="95" w:type="dxa"/>
              <w:bottom w:w="95" w:type="dxa"/>
              <w:left w:w="110" w:type="dxa"/>
              <w:right w:w="110" w:type="dxa"/>
            </w:tcMar>
            <w:shd w:fill="F6F8FA"/>
          </w:tcPr>
          <w:p>
            <w:pPr>
              <w:keepNext w:val="0"/>
              <w:spacing w:after="0" w:line="250" w:lineRule="auto"/>
            </w:pPr>
            <w:r>
              <w:rPr>
                <w:b w:val="0"/>
                <w:color w:val="000000"/>
                <w:sz w:val="20"/>
              </w:rPr>
              <w:t>Sets measures and phased restrictions for plastics in production, trade, services and daily activities under the Capital Law.</w:t>
            </w:r>
          </w:p>
        </w:tc>
      </w:tr>
      <w:tr>
        <w:trPr>
          <w:cantSplit/>
        </w:trPr>
        <w:tc>
          <w:tcPr>
            <w:tcW w:type="dxa" w:w="3283"/>
            <w:vAlign w:val="center"/>
            <w:tcMar>
              <w:top w:w="95" w:type="dxa"/>
              <w:bottom w:w="95" w:type="dxa"/>
              <w:left w:w="110" w:type="dxa"/>
              <w:right w:w="110" w:type="dxa"/>
            </w:tcMar>
            <w:shd w:fill="FFFFFF"/>
          </w:tcPr>
          <w:p>
            <w:pPr>
              <w:keepNext w:val="0"/>
              <w:spacing w:after="0" w:line="250" w:lineRule="auto"/>
            </w:pPr>
            <w:r>
              <w:rPr>
                <w:b w:val="0"/>
                <w:color w:val="000000"/>
                <w:sz w:val="20"/>
              </w:rPr>
              <w:t>Plan 04/KH-UBND</w:t>
              <w:br/>
              <w:t>Plastic waste management and plastic emission reduction [3]</w:t>
            </w:r>
          </w:p>
        </w:tc>
        <w:tc>
          <w:tcPr>
            <w:tcW w:type="dxa" w:w="1469"/>
            <w:vAlign w:val="center"/>
            <w:tcMar>
              <w:top w:w="95" w:type="dxa"/>
              <w:bottom w:w="95" w:type="dxa"/>
              <w:left w:w="110" w:type="dxa"/>
              <w:right w:w="110" w:type="dxa"/>
            </w:tcMar>
            <w:shd w:fill="FFFFFF"/>
          </w:tcPr>
          <w:p>
            <w:pPr>
              <w:keepNext w:val="0"/>
              <w:spacing w:after="0" w:line="250" w:lineRule="auto"/>
              <w:jc w:val="center"/>
            </w:pPr>
            <w:r>
              <w:rPr>
                <w:b w:val="0"/>
                <w:color w:val="000000"/>
                <w:sz w:val="20"/>
              </w:rPr>
              <w:t>5 Jan 2026</w:t>
            </w:r>
          </w:p>
        </w:tc>
        <w:tc>
          <w:tcPr>
            <w:tcW w:type="dxa" w:w="5472"/>
            <w:vAlign w:val="center"/>
            <w:tcMar>
              <w:top w:w="95" w:type="dxa"/>
              <w:bottom w:w="95" w:type="dxa"/>
              <w:left w:w="110" w:type="dxa"/>
              <w:right w:w="110" w:type="dxa"/>
            </w:tcMar>
            <w:shd w:fill="FFFFFF"/>
          </w:tcPr>
          <w:p>
            <w:pPr>
              <w:keepNext w:val="0"/>
              <w:spacing w:after="0" w:line="250" w:lineRule="auto"/>
            </w:pPr>
            <w:r>
              <w:rPr>
                <w:b w:val="0"/>
                <w:color w:val="000000"/>
                <w:sz w:val="20"/>
              </w:rPr>
              <w:t>Implements Resolution 22, assigns responsibilities and sets out measures for an integrated plastic waste management system linked to the circular economy by 2030.</w:t>
            </w:r>
          </w:p>
        </w:tc>
      </w:tr>
      <w:tr>
        <w:trPr>
          <w:cantSplit/>
        </w:trPr>
        <w:tc>
          <w:tcPr>
            <w:tcW w:type="dxa" w:w="3283"/>
            <w:vAlign w:val="center"/>
            <w:tcMar>
              <w:top w:w="95" w:type="dxa"/>
              <w:bottom w:w="95" w:type="dxa"/>
              <w:left w:w="110" w:type="dxa"/>
              <w:right w:w="110" w:type="dxa"/>
            </w:tcMar>
            <w:shd w:fill="F6F8FA"/>
          </w:tcPr>
          <w:p>
            <w:pPr>
              <w:keepNext w:val="0"/>
              <w:spacing w:after="0" w:line="250" w:lineRule="auto"/>
            </w:pPr>
            <w:r>
              <w:rPr>
                <w:b w:val="0"/>
                <w:color w:val="000000"/>
                <w:sz w:val="20"/>
              </w:rPr>
              <w:t>Plan 52/KH-UBND</w:t>
              <w:br/>
              <w:t>Public participation in environmental protection and waste management [4]</w:t>
            </w:r>
          </w:p>
        </w:tc>
        <w:tc>
          <w:tcPr>
            <w:tcW w:type="dxa" w:w="1469"/>
            <w:vAlign w:val="center"/>
            <w:tcMar>
              <w:top w:w="95" w:type="dxa"/>
              <w:bottom w:w="95" w:type="dxa"/>
              <w:left w:w="110" w:type="dxa"/>
              <w:right w:w="110" w:type="dxa"/>
            </w:tcMar>
            <w:shd w:fill="F6F8FA"/>
          </w:tcPr>
          <w:p>
            <w:pPr>
              <w:keepNext w:val="0"/>
              <w:spacing w:after="0" w:line="250" w:lineRule="auto"/>
              <w:jc w:val="center"/>
            </w:pPr>
            <w:r>
              <w:rPr>
                <w:b w:val="0"/>
                <w:color w:val="000000"/>
                <w:sz w:val="20"/>
              </w:rPr>
              <w:t>6 Feb 2026</w:t>
            </w:r>
          </w:p>
        </w:tc>
        <w:tc>
          <w:tcPr>
            <w:tcW w:type="dxa" w:w="5472"/>
            <w:vAlign w:val="center"/>
            <w:tcMar>
              <w:top w:w="95" w:type="dxa"/>
              <w:bottom w:w="95" w:type="dxa"/>
              <w:left w:w="110" w:type="dxa"/>
              <w:right w:w="110" w:type="dxa"/>
            </w:tcMar>
            <w:shd w:fill="F6F8FA"/>
          </w:tcPr>
          <w:p>
            <w:pPr>
              <w:keepNext w:val="0"/>
              <w:spacing w:after="0" w:line="250" w:lineRule="auto"/>
            </w:pPr>
            <w:r>
              <w:rPr>
                <w:b w:val="0"/>
                <w:color w:val="000000"/>
                <w:sz w:val="20"/>
              </w:rPr>
              <w:t>Targets organisation of household source separation in all communes and wards, alongside collection infrastructure and community participation. These are implementation targets, not verified outcomes.</w:t>
            </w:r>
          </w:p>
        </w:tc>
      </w:tr>
      <w:tr>
        <w:trPr>
          <w:cantSplit/>
        </w:trPr>
        <w:tc>
          <w:tcPr>
            <w:tcW w:type="dxa" w:w="3283"/>
            <w:vAlign w:val="center"/>
            <w:tcMar>
              <w:top w:w="95" w:type="dxa"/>
              <w:bottom w:w="95" w:type="dxa"/>
              <w:left w:w="110" w:type="dxa"/>
              <w:right w:w="110" w:type="dxa"/>
            </w:tcMar>
            <w:shd w:fill="FFFFFF"/>
          </w:tcPr>
          <w:p>
            <w:pPr>
              <w:keepNext w:val="0"/>
              <w:spacing w:after="0" w:line="250" w:lineRule="auto"/>
            </w:pPr>
            <w:r>
              <w:rPr>
                <w:b w:val="0"/>
                <w:color w:val="000000"/>
                <w:sz w:val="20"/>
              </w:rPr>
              <w:t>Resolution 08/2025/NQ-HĐND</w:t>
              <w:br/>
              <w:t>Penalties for specified environmental violations [5]</w:t>
            </w:r>
          </w:p>
        </w:tc>
        <w:tc>
          <w:tcPr>
            <w:tcW w:type="dxa" w:w="1469"/>
            <w:vAlign w:val="center"/>
            <w:tcMar>
              <w:top w:w="95" w:type="dxa"/>
              <w:bottom w:w="95" w:type="dxa"/>
              <w:left w:w="110" w:type="dxa"/>
              <w:right w:w="110" w:type="dxa"/>
            </w:tcMar>
            <w:shd w:fill="FFFFFF"/>
          </w:tcPr>
          <w:p>
            <w:pPr>
              <w:keepNext w:val="0"/>
              <w:spacing w:after="0" w:line="250" w:lineRule="auto"/>
              <w:jc w:val="center"/>
            </w:pPr>
            <w:r>
              <w:rPr>
                <w:b w:val="0"/>
                <w:color w:val="000000"/>
                <w:sz w:val="20"/>
              </w:rPr>
              <w:t>Issued</w:t>
              <w:br/>
              <w:t>29 Apr 2025</w:t>
              <w:br/>
              <w:t>Effective</w:t>
              <w:br/>
              <w:t>1 Sep 2025</w:t>
            </w:r>
          </w:p>
        </w:tc>
        <w:tc>
          <w:tcPr>
            <w:tcW w:type="dxa" w:w="5472"/>
            <w:vAlign w:val="center"/>
            <w:tcMar>
              <w:top w:w="95" w:type="dxa"/>
              <w:bottom w:w="95" w:type="dxa"/>
              <w:left w:w="110" w:type="dxa"/>
              <w:right w:w="110" w:type="dxa"/>
            </w:tcMar>
            <w:shd w:fill="FFFFFF"/>
          </w:tcPr>
          <w:p>
            <w:pPr>
              <w:keepNext w:val="0"/>
              <w:spacing w:after="0" w:line="250" w:lineRule="auto"/>
            </w:pPr>
            <w:r>
              <w:rPr>
                <w:b w:val="0"/>
                <w:color w:val="000000"/>
                <w:sz w:val="20"/>
              </w:rPr>
              <w:t>Raises fines for listed violations, including failure by households or individuals to separate waste or use prescribed waste packaging.</w:t>
            </w:r>
          </w:p>
        </w:tc>
      </w:tr>
      <w:tr>
        <w:trPr>
          <w:cantSplit/>
        </w:trPr>
        <w:tc>
          <w:tcPr>
            <w:tcW w:type="dxa" w:w="3283"/>
            <w:vAlign w:val="center"/>
            <w:tcMar>
              <w:top w:w="95" w:type="dxa"/>
              <w:bottom w:w="95" w:type="dxa"/>
              <w:left w:w="110" w:type="dxa"/>
              <w:right w:w="110" w:type="dxa"/>
            </w:tcMar>
            <w:shd w:fill="F6F8FA"/>
          </w:tcPr>
          <w:p>
            <w:pPr>
              <w:keepNext w:val="0"/>
              <w:spacing w:after="0" w:line="250" w:lineRule="auto"/>
            </w:pPr>
            <w:r>
              <w:rPr>
                <w:b w:val="0"/>
                <w:color w:val="000000"/>
                <w:sz w:val="20"/>
              </w:rPr>
              <w:t>Resolution 23/2025/NQ-HĐND</w:t>
              <w:br/>
              <w:t>Support for recycling using best available techniques [6]</w:t>
            </w:r>
          </w:p>
        </w:tc>
        <w:tc>
          <w:tcPr>
            <w:tcW w:type="dxa" w:w="1469"/>
            <w:vAlign w:val="center"/>
            <w:tcMar>
              <w:top w:w="95" w:type="dxa"/>
              <w:bottom w:w="95" w:type="dxa"/>
              <w:left w:w="110" w:type="dxa"/>
              <w:right w:w="110" w:type="dxa"/>
            </w:tcMar>
            <w:shd w:fill="F6F8FA"/>
          </w:tcPr>
          <w:p>
            <w:pPr>
              <w:keepNext w:val="0"/>
              <w:spacing w:after="0" w:line="250" w:lineRule="auto"/>
              <w:jc w:val="center"/>
            </w:pPr>
            <w:r>
              <w:rPr>
                <w:b w:val="0"/>
                <w:color w:val="000000"/>
                <w:sz w:val="20"/>
              </w:rPr>
              <w:t>Issued</w:t>
              <w:br/>
              <w:t>10 Jul 2025</w:t>
              <w:br/>
              <w:t>Effective</w:t>
              <w:br/>
              <w:t>20 Jul 2025</w:t>
            </w:r>
          </w:p>
        </w:tc>
        <w:tc>
          <w:tcPr>
            <w:tcW w:type="dxa" w:w="5472"/>
            <w:vAlign w:val="center"/>
            <w:tcMar>
              <w:top w:w="95" w:type="dxa"/>
              <w:bottom w:w="95" w:type="dxa"/>
              <w:left w:w="110" w:type="dxa"/>
              <w:right w:w="110" w:type="dxa"/>
            </w:tcMar>
            <w:shd w:fill="F6F8FA"/>
          </w:tcPr>
          <w:p>
            <w:pPr>
              <w:keepNext w:val="0"/>
              <w:spacing w:after="0" w:line="250" w:lineRule="auto"/>
            </w:pPr>
            <w:r>
              <w:rPr>
                <w:b w:val="0"/>
                <w:color w:val="000000"/>
                <w:sz w:val="20"/>
              </w:rPr>
              <w:t>Provides conditional incentives and support for eligible recycling investments and related activities. Eligibility is not automatic for all collectors or recyclers.</w:t>
            </w:r>
          </w:p>
        </w:tc>
      </w:tr>
      <w:tr>
        <w:trPr>
          <w:cantSplit/>
        </w:trPr>
        <w:tc>
          <w:tcPr>
            <w:tcW w:type="dxa" w:w="3283"/>
            <w:vAlign w:val="center"/>
            <w:tcMar>
              <w:top w:w="95" w:type="dxa"/>
              <w:bottom w:w="95" w:type="dxa"/>
              <w:left w:w="110" w:type="dxa"/>
              <w:right w:w="110" w:type="dxa"/>
            </w:tcMar>
            <w:shd w:fill="FFFFFF"/>
          </w:tcPr>
          <w:p>
            <w:pPr>
              <w:keepNext w:val="0"/>
              <w:spacing w:after="0" w:line="250" w:lineRule="auto"/>
            </w:pPr>
            <w:r>
              <w:rPr>
                <w:b w:val="0"/>
                <w:color w:val="000000"/>
                <w:sz w:val="20"/>
              </w:rPr>
              <w:t>Plan 354/KH-UBND</w:t>
              <w:br/>
              <w:t>Industrial solid waste and scrap facility management [7]</w:t>
            </w:r>
          </w:p>
        </w:tc>
        <w:tc>
          <w:tcPr>
            <w:tcW w:type="dxa" w:w="1469"/>
            <w:vAlign w:val="center"/>
            <w:tcMar>
              <w:top w:w="95" w:type="dxa"/>
              <w:bottom w:w="95" w:type="dxa"/>
              <w:left w:w="110" w:type="dxa"/>
              <w:right w:w="110" w:type="dxa"/>
            </w:tcMar>
            <w:shd w:fill="FFFFFF"/>
          </w:tcPr>
          <w:p>
            <w:pPr>
              <w:keepNext w:val="0"/>
              <w:spacing w:after="0" w:line="250" w:lineRule="auto"/>
              <w:jc w:val="center"/>
            </w:pPr>
            <w:r>
              <w:rPr>
                <w:b w:val="0"/>
                <w:color w:val="000000"/>
                <w:sz w:val="20"/>
              </w:rPr>
              <w:t>21 Sep 2026</w:t>
            </w:r>
          </w:p>
        </w:tc>
        <w:tc>
          <w:tcPr>
            <w:tcW w:type="dxa" w:w="5472"/>
            <w:vAlign w:val="center"/>
            <w:tcMar>
              <w:top w:w="95" w:type="dxa"/>
              <w:bottom w:w="95" w:type="dxa"/>
              <w:left w:w="110" w:type="dxa"/>
              <w:right w:w="110" w:type="dxa"/>
            </w:tcMar>
            <w:shd w:fill="FFFFFF"/>
          </w:tcPr>
          <w:p>
            <w:pPr>
              <w:keepNext w:val="0"/>
              <w:spacing w:after="0" w:line="250" w:lineRule="auto"/>
            </w:pPr>
            <w:r>
              <w:rPr>
                <w:b w:val="0"/>
                <w:color w:val="000000"/>
                <w:sz w:val="20"/>
              </w:rPr>
              <w:t>Strengthens oversight of industrial waste and scrap collection, aggregation, sorting and recycling facilities, including environmental and fire safety compliance.</w:t>
            </w:r>
          </w:p>
        </w:tc>
      </w:tr>
    </w:tbl>
    <w:p>
      <w:pPr>
        <w:spacing w:after="0"/>
      </w:pPr>
      <w:r/>
    </w:p>
    <w:p>
      <w:r>
        <w:br w:type="page"/>
      </w:r>
    </w:p>
    <w:p>
      <w:pPr>
        <w:pStyle w:val="Heading1"/>
      </w:pPr>
      <w:r>
        <w:t>Waste separation and collection</w:t>
      </w:r>
    </w:p>
    <w:p>
      <w:r>
        <w:t>Article 5 of the Regulation attached to Decision 87 establishes three main groups of household domestic solid waste: [1]</w:t>
      </w:r>
    </w:p>
    <w:p>
      <w:pPr>
        <w:pStyle w:val="ListBullet"/>
        <w:spacing w:after="60"/>
      </w:pPr>
      <w:r>
        <w:t>Reusable and recyclable waste.</w:t>
      </w:r>
    </w:p>
    <w:p>
      <w:pPr>
        <w:pStyle w:val="ListBullet"/>
        <w:spacing w:after="60"/>
      </w:pPr>
      <w:r>
        <w:t>Food waste.</w:t>
      </w:r>
    </w:p>
    <w:p>
      <w:pPr>
        <w:pStyle w:val="ListBullet"/>
        <w:spacing w:after="60"/>
      </w:pPr>
      <w:r>
        <w:t>Other domestic solid waste, including bulky waste, household hazardous waste and residual waste.</w:t>
      </w:r>
    </w:p>
    <w:p>
      <w:r>
        <w:t>Bulky and hazardous waste require separate handling within the third group. Commune or ward People’s Committees determine arrangements for separating food waste based on available treatment infrastructure and local treatment models. Collection operators may refuse improperly separated or packaged waste and notify local authorities for inspection and action. [1]</w:t>
      </w:r>
    </w:p>
    <w:p>
      <w:r>
        <w:t>The Decision provides for charging by waste weight or volume, including through weighing, containers or waste bags. This provision alone does not establish that a uniform pay-as-you-throw system is operating throughout Hanoi. Local charging and collection arrangements remain relevant. [1]</w:t>
      </w:r>
    </w:p>
    <w:p>
      <w:pPr>
        <w:pStyle w:val="Heading1"/>
      </w:pPr>
      <w:r>
        <w:t>Plastic reduction timetable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13"/>
        <w:gridCol w:w="8611"/>
      </w:tblGrid>
      <w:tr>
        <w:trPr>
          <w:cantSplit/>
          <w:tblHeader/>
        </w:trPr>
        <w:tc>
          <w:tcPr>
            <w:tcW w:type="dxa" w:w="1613"/>
            <w:vAlign w:val="center"/>
            <w:tcMar>
              <w:top w:w="95" w:type="dxa"/>
              <w:bottom w:w="95" w:type="dxa"/>
              <w:left w:w="110" w:type="dxa"/>
              <w:right w:w="110" w:type="dxa"/>
            </w:tcMar>
            <w:shd w:fill="DCE6EF"/>
          </w:tcPr>
          <w:p>
            <w:pPr>
              <w:keepNext w:val="0"/>
              <w:spacing w:after="0" w:line="250" w:lineRule="auto"/>
            </w:pPr>
            <w:r>
              <w:rPr>
                <w:b/>
                <w:color w:val="000000"/>
                <w:sz w:val="20"/>
              </w:rPr>
              <w:t>Start date</w:t>
            </w:r>
          </w:p>
        </w:tc>
        <w:tc>
          <w:tcPr>
            <w:tcW w:type="dxa" w:w="8611"/>
            <w:vAlign w:val="center"/>
            <w:tcMar>
              <w:top w:w="95" w:type="dxa"/>
              <w:bottom w:w="95" w:type="dxa"/>
              <w:left w:w="110" w:type="dxa"/>
              <w:right w:w="110" w:type="dxa"/>
            </w:tcMar>
            <w:shd w:fill="DCE6EF"/>
          </w:tcPr>
          <w:p>
            <w:pPr>
              <w:keepNext w:val="0"/>
              <w:spacing w:after="0" w:line="250" w:lineRule="auto"/>
            </w:pPr>
            <w:r>
              <w:rPr>
                <w:b/>
                <w:color w:val="000000"/>
                <w:sz w:val="20"/>
              </w:rPr>
              <w:t>Main requirement and scope</w:t>
            </w:r>
          </w:p>
        </w:tc>
      </w:tr>
      <w:tr>
        <w:trPr>
          <w:cantSplit/>
        </w:trPr>
        <w:tc>
          <w:tcPr>
            <w:tcW w:type="dxa" w:w="1613"/>
            <w:vAlign w:val="center"/>
            <w:tcMar>
              <w:top w:w="95" w:type="dxa"/>
              <w:bottom w:w="95" w:type="dxa"/>
              <w:left w:w="110" w:type="dxa"/>
              <w:right w:w="110" w:type="dxa"/>
            </w:tcMar>
            <w:shd w:fill="FFFFFF"/>
          </w:tcPr>
          <w:p>
            <w:pPr>
              <w:keepNext w:val="0"/>
              <w:spacing w:after="0" w:line="250" w:lineRule="auto"/>
            </w:pPr>
            <w:r>
              <w:rPr>
                <w:b w:val="0"/>
                <w:color w:val="000000"/>
                <w:sz w:val="20"/>
              </w:rPr>
              <w:t>20 Jul 2025</w:t>
            </w:r>
          </w:p>
        </w:tc>
        <w:tc>
          <w:tcPr>
            <w:tcW w:type="dxa" w:w="8611"/>
            <w:vAlign w:val="center"/>
            <w:tcMar>
              <w:top w:w="95" w:type="dxa"/>
              <w:bottom w:w="95" w:type="dxa"/>
              <w:left w:w="110" w:type="dxa"/>
              <w:right w:w="110" w:type="dxa"/>
            </w:tcMar>
            <w:shd w:fill="FFFFFF"/>
          </w:tcPr>
          <w:p>
            <w:pPr>
              <w:keepNext w:val="0"/>
              <w:spacing w:after="0" w:line="250" w:lineRule="auto"/>
            </w:pPr>
            <w:r>
              <w:rPr>
                <w:b w:val="0"/>
                <w:color w:val="000000"/>
                <w:sz w:val="20"/>
              </w:rPr>
              <w:t>City government bodies and affiliated organisations must not use single-use plastics, except products carrying the Vietnam Ecolabel, or the specified non-biodegradable bags and foam food containers. [2]</w:t>
            </w:r>
          </w:p>
        </w:tc>
      </w:tr>
      <w:tr>
        <w:trPr>
          <w:cantSplit/>
        </w:trPr>
        <w:tc>
          <w:tcPr>
            <w:tcW w:type="dxa" w:w="1613"/>
            <w:vAlign w:val="center"/>
            <w:tcMar>
              <w:top w:w="95" w:type="dxa"/>
              <w:bottom w:w="95" w:type="dxa"/>
              <w:left w:w="110" w:type="dxa"/>
              <w:right w:w="110" w:type="dxa"/>
            </w:tcMar>
            <w:shd w:fill="F6F8FA"/>
          </w:tcPr>
          <w:p>
            <w:pPr>
              <w:keepNext w:val="0"/>
              <w:spacing w:after="0" w:line="250" w:lineRule="auto"/>
            </w:pPr>
            <w:r>
              <w:rPr>
                <w:b w:val="0"/>
                <w:color w:val="000000"/>
                <w:sz w:val="20"/>
              </w:rPr>
              <w:t>1 Jan 2026</w:t>
            </w:r>
          </w:p>
        </w:tc>
        <w:tc>
          <w:tcPr>
            <w:tcW w:type="dxa" w:w="8611"/>
            <w:vAlign w:val="center"/>
            <w:tcMar>
              <w:top w:w="95" w:type="dxa"/>
              <w:bottom w:w="95" w:type="dxa"/>
              <w:left w:w="110" w:type="dxa"/>
              <w:right w:w="110" w:type="dxa"/>
            </w:tcMar>
            <w:shd w:fill="F6F8FA"/>
          </w:tcPr>
          <w:p>
            <w:pPr>
              <w:keepNext w:val="0"/>
              <w:spacing w:after="0" w:line="250" w:lineRule="auto"/>
            </w:pPr>
            <w:r>
              <w:rPr>
                <w:b w:val="0"/>
                <w:color w:val="000000"/>
                <w:sz w:val="20"/>
              </w:rPr>
              <w:t>Markets and convenience stores must stop providing non-biodegradable plastic bags free of charge. Hotels and tourism sites must stop using the listed disposable plastic toiletries and their packaging. [3]</w:t>
            </w:r>
          </w:p>
        </w:tc>
      </w:tr>
      <w:tr>
        <w:trPr>
          <w:cantSplit/>
        </w:trPr>
        <w:tc>
          <w:tcPr>
            <w:tcW w:type="dxa" w:w="1613"/>
            <w:vAlign w:val="center"/>
            <w:tcMar>
              <w:top w:w="95" w:type="dxa"/>
              <w:bottom w:w="95" w:type="dxa"/>
              <w:left w:w="110" w:type="dxa"/>
              <w:right w:w="110" w:type="dxa"/>
            </w:tcMar>
            <w:shd w:fill="FFFFFF"/>
          </w:tcPr>
          <w:p>
            <w:pPr>
              <w:keepNext w:val="0"/>
              <w:spacing w:after="0" w:line="250" w:lineRule="auto"/>
            </w:pPr>
            <w:r>
              <w:rPr>
                <w:b w:val="0"/>
                <w:color w:val="000000"/>
                <w:sz w:val="20"/>
              </w:rPr>
              <w:t>1 Jan 2026</w:t>
            </w:r>
          </w:p>
        </w:tc>
        <w:tc>
          <w:tcPr>
            <w:tcW w:type="dxa" w:w="8611"/>
            <w:vAlign w:val="center"/>
            <w:tcMar>
              <w:top w:w="95" w:type="dxa"/>
              <w:bottom w:w="95" w:type="dxa"/>
              <w:left w:w="110" w:type="dxa"/>
              <w:right w:w="110" w:type="dxa"/>
            </w:tcMar>
            <w:shd w:fill="FFFFFF"/>
          </w:tcPr>
          <w:p>
            <w:pPr>
              <w:keepNext w:val="0"/>
              <w:spacing w:after="0" w:line="250" w:lineRule="auto"/>
            </w:pPr>
            <w:r>
              <w:rPr>
                <w:b w:val="0"/>
                <w:color w:val="000000"/>
                <w:sz w:val="20"/>
              </w:rPr>
              <w:t>Plan 04 also specifies restrictions on single-use plastics and the specified non-biodegradable packaging in shopping centres, supermarkets, hotels and tourism sites. An exception applies to goods already supplied in non-biodegradable plastic packaging. [3]</w:t>
            </w:r>
          </w:p>
        </w:tc>
      </w:tr>
      <w:tr>
        <w:trPr>
          <w:cantSplit/>
        </w:trPr>
        <w:tc>
          <w:tcPr>
            <w:tcW w:type="dxa" w:w="1613"/>
            <w:vAlign w:val="center"/>
            <w:tcMar>
              <w:top w:w="95" w:type="dxa"/>
              <w:bottom w:w="95" w:type="dxa"/>
              <w:left w:w="110" w:type="dxa"/>
              <w:right w:w="110" w:type="dxa"/>
            </w:tcMar>
            <w:shd w:fill="F6F8FA"/>
          </w:tcPr>
          <w:p>
            <w:pPr>
              <w:keepNext w:val="0"/>
              <w:spacing w:after="0" w:line="250" w:lineRule="auto"/>
            </w:pPr>
            <w:r>
              <w:rPr>
                <w:b w:val="0"/>
                <w:color w:val="000000"/>
                <w:sz w:val="20"/>
              </w:rPr>
              <w:t>1 Jan 2028</w:t>
            </w:r>
          </w:p>
        </w:tc>
        <w:tc>
          <w:tcPr>
            <w:tcW w:type="dxa" w:w="8611"/>
            <w:vAlign w:val="center"/>
            <w:tcMar>
              <w:top w:w="95" w:type="dxa"/>
              <w:bottom w:w="95" w:type="dxa"/>
              <w:left w:w="110" w:type="dxa"/>
              <w:right w:w="110" w:type="dxa"/>
            </w:tcMar>
            <w:shd w:fill="F6F8FA"/>
          </w:tcPr>
          <w:p>
            <w:pPr>
              <w:keepNext w:val="0"/>
              <w:spacing w:after="0" w:line="250" w:lineRule="auto"/>
            </w:pPr>
            <w:r>
              <w:rPr>
                <w:b w:val="0"/>
                <w:color w:val="000000"/>
                <w:sz w:val="20"/>
              </w:rPr>
              <w:t>Markets and convenience stores must stop circulating and using the targeted products and packaging. Restrictions also apply to the specified packaging in direct contact with food in daily activities, subject to the exception for packaged goods. [2]</w:t>
            </w:r>
          </w:p>
        </w:tc>
      </w:tr>
      <w:tr>
        <w:trPr>
          <w:cantSplit/>
        </w:trPr>
        <w:tc>
          <w:tcPr>
            <w:tcW w:type="dxa" w:w="1613"/>
            <w:vAlign w:val="center"/>
            <w:tcMar>
              <w:top w:w="95" w:type="dxa"/>
              <w:bottom w:w="95" w:type="dxa"/>
              <w:left w:w="110" w:type="dxa"/>
              <w:right w:w="110" w:type="dxa"/>
            </w:tcMar>
            <w:shd w:fill="FFFFFF"/>
          </w:tcPr>
          <w:p>
            <w:pPr>
              <w:keepNext w:val="0"/>
              <w:spacing w:after="0" w:line="250" w:lineRule="auto"/>
            </w:pPr>
            <w:r>
              <w:rPr>
                <w:b w:val="0"/>
                <w:color w:val="000000"/>
                <w:sz w:val="20"/>
              </w:rPr>
              <w:t>1 Jan 2028</w:t>
              <w:br/>
              <w:t>and</w:t>
              <w:br/>
              <w:t>1 Jan 2030</w:t>
            </w:r>
          </w:p>
        </w:tc>
        <w:tc>
          <w:tcPr>
            <w:tcW w:type="dxa" w:w="8611"/>
            <w:vAlign w:val="center"/>
            <w:tcMar>
              <w:top w:w="95" w:type="dxa"/>
              <w:bottom w:w="95" w:type="dxa"/>
              <w:left w:w="110" w:type="dxa"/>
              <w:right w:w="110" w:type="dxa"/>
            </w:tcMar>
            <w:shd w:fill="FFFFFF"/>
          </w:tcPr>
          <w:p>
            <w:pPr>
              <w:keepNext w:val="0"/>
              <w:spacing w:after="0" w:line="250" w:lineRule="auto"/>
            </w:pPr>
            <w:r>
              <w:rPr>
                <w:b w:val="0"/>
                <w:color w:val="000000"/>
                <w:sz w:val="20"/>
              </w:rPr>
              <w:t>Manufacturers using PE or PP in the packaging categories expressly referenced by Resolution 22 must use at least 20% recycled plastic from 2028 and 30% from 2030. These requirements do not cover every plastic packaging category. [2]</w:t>
            </w:r>
          </w:p>
        </w:tc>
      </w:tr>
      <w:tr>
        <w:trPr>
          <w:cantSplit/>
        </w:trPr>
        <w:tc>
          <w:tcPr>
            <w:tcW w:type="dxa" w:w="1613"/>
            <w:vAlign w:val="center"/>
            <w:tcMar>
              <w:top w:w="95" w:type="dxa"/>
              <w:bottom w:w="95" w:type="dxa"/>
              <w:left w:w="110" w:type="dxa"/>
              <w:right w:w="110" w:type="dxa"/>
            </w:tcMar>
            <w:shd w:fill="F6F8FA"/>
          </w:tcPr>
          <w:p>
            <w:pPr>
              <w:keepNext w:val="0"/>
              <w:spacing w:after="0" w:line="250" w:lineRule="auto"/>
            </w:pPr>
            <w:r>
              <w:rPr>
                <w:b w:val="0"/>
                <w:color w:val="000000"/>
                <w:sz w:val="20"/>
              </w:rPr>
              <w:t>1 Jan 2031</w:t>
            </w:r>
          </w:p>
        </w:tc>
        <w:tc>
          <w:tcPr>
            <w:tcW w:type="dxa" w:w="8611"/>
            <w:vAlign w:val="center"/>
            <w:tcMar>
              <w:top w:w="95" w:type="dxa"/>
              <w:bottom w:w="95" w:type="dxa"/>
              <w:left w:w="110" w:type="dxa"/>
              <w:right w:w="110" w:type="dxa"/>
            </w:tcMar>
            <w:shd w:fill="F6F8FA"/>
          </w:tcPr>
          <w:p>
            <w:pPr>
              <w:keepNext w:val="0"/>
              <w:spacing w:after="0" w:line="250" w:lineRule="auto"/>
            </w:pPr>
            <w:r>
              <w:rPr>
                <w:b w:val="0"/>
                <w:color w:val="000000"/>
                <w:sz w:val="20"/>
              </w:rPr>
              <w:t>Production and import of the specified single-use plastics, non-biodegradable packaging and microplastic-containing goods must cease. Exceptions concern Vietnam Ecolabel products, export production and packaging used for marketed goods, as specified in the instrument. [2]</w:t>
            </w:r>
          </w:p>
        </w:tc>
      </w:tr>
    </w:tbl>
    <w:p>
      <w:pPr>
        <w:spacing w:after="0"/>
      </w:pPr>
      <w:r/>
    </w:p>
    <w:p>
      <w:r>
        <w:br w:type="page"/>
      </w:r>
    </w:p>
    <w:p>
      <w:pPr>
        <w:pStyle w:val="Heading1"/>
      </w:pPr>
      <w:r>
        <w:t>Scope and implementation</w:t>
      </w:r>
    </w:p>
    <w:p>
      <w:r>
        <w:t>The 2026 requirement to stop providing bags free of charge and the 2028 restriction on circulation and use at markets and convenience stores are distinct obligations. The measures apply to defined products, activities and exceptions; they do not amount to a blanket prohibition on all plastics in Hanoi from 2026. [2, 3]</w:t>
      </w:r>
    </w:p>
    <w:p>
      <w:r>
        <w:t>Reuse and refill are expressly encouraged under Article 7 of Resolution 22, together with the reuse or repurposing of bottles, boxes and other containers. The Resolution also covers communication, education, international cooperation and implementation of extended producer responsibility. These are policy provisions, separate from the mandatory product restrictions. [8]</w:t>
      </w:r>
    </w:p>
    <w:p>
      <w:r>
        <w:t>Resolution 23 links recycling support to eligibility conditions, including use of best available techniques. Its provisions cover eligible investment and financing, infrastructure, training, technology transfer and market development. Plan 354 complements this approach by strengthening oversight of industrial waste and scrap facilities. [6, 7]</w:t>
      </w:r>
    </w:p>
    <w:p>
      <w:r>
        <w:t>Implementation plans assign tasks and targets. Their adoption does not, by itself, demonstrate full compliance or uniform delivery across all communes, wards and businesses. The scope and exceptions in the Vietnamese instruments remain the basis for interpreting specific obligations.</w:t>
      </w:r>
    </w:p>
    <w:p>
      <w:pPr>
        <w:pStyle w:val="Heading1"/>
      </w:pPr>
      <w:r>
        <w:t>References</w:t>
      </w:r>
    </w:p>
    <w:p>
      <w:r>
        <w:t>Sources reviewed on 14 October 2026. English descriptions in this brief summarise the Vietnamese instruments; official document identifiers are retained for reference. Links below lead to the instruments or official information on their implementation.</w:t>
      </w:r>
    </w:p>
    <w:p>
      <w:pPr>
        <w:keepLines/>
        <w:spacing w:after="140"/>
      </w:pPr>
      <w:r>
        <w:rPr>
          <w:sz w:val="19"/>
        </w:rPr>
        <w:t xml:space="preserve">[1] Hanoi People’s Committee. Decision 87/2025/QĐ-UBND, 29 December 2025. </w:t>
      </w:r>
      <w:hyperlink r:id="rId10">
        <w:r>
          <w:rPr>
            <w:color w:val="24577A"/>
            <w:u w:val="single"/>
          </w:rPr>
          <w:t>Official record</w:t>
        </w:r>
      </w:hyperlink>
      <w:r>
        <w:rPr>
          <w:sz w:val="19"/>
        </w:rPr>
        <w:t xml:space="preserve"> | </w:t>
      </w:r>
      <w:hyperlink r:id="rId11">
        <w:r>
          <w:rPr>
            <w:color w:val="24577A"/>
            <w:u w:val="single"/>
          </w:rPr>
          <w:t>Full text</w:t>
        </w:r>
      </w:hyperlink>
    </w:p>
    <w:p>
      <w:pPr>
        <w:keepLines/>
        <w:spacing w:after="140"/>
      </w:pPr>
      <w:r>
        <w:rPr>
          <w:sz w:val="19"/>
        </w:rPr>
        <w:t xml:space="preserve">[2] Hanoi People’s Council. Resolution 22/2025/NQ-HĐND, 10 July 2025. </w:t>
      </w:r>
      <w:hyperlink r:id="rId12">
        <w:r>
          <w:rPr>
            <w:color w:val="24577A"/>
            <w:u w:val="single"/>
          </w:rPr>
          <w:t>Official record</w:t>
        </w:r>
      </w:hyperlink>
      <w:r>
        <w:rPr>
          <w:sz w:val="19"/>
        </w:rPr>
        <w:t xml:space="preserve"> | </w:t>
      </w:r>
      <w:hyperlink r:id="rId13">
        <w:r>
          <w:rPr>
            <w:color w:val="24577A"/>
            <w:u w:val="single"/>
          </w:rPr>
          <w:t>Full text</w:t>
        </w:r>
      </w:hyperlink>
    </w:p>
    <w:p>
      <w:pPr>
        <w:keepLines/>
        <w:spacing w:after="140"/>
      </w:pPr>
      <w:r>
        <w:rPr>
          <w:sz w:val="19"/>
        </w:rPr>
        <w:t xml:space="preserve">[3] Hanoi People’s Committee. Plan 04/KH-UBND, 5 January 2026. </w:t>
      </w:r>
      <w:hyperlink r:id="rId14">
        <w:r>
          <w:rPr>
            <w:color w:val="24577A"/>
            <w:u w:val="single"/>
          </w:rPr>
          <w:t>Official summary</w:t>
        </w:r>
      </w:hyperlink>
      <w:r>
        <w:rPr>
          <w:sz w:val="19"/>
        </w:rPr>
        <w:t xml:space="preserve"> | </w:t>
      </w:r>
      <w:hyperlink r:id="rId15">
        <w:r>
          <w:rPr>
            <w:color w:val="24577A"/>
            <w:u w:val="single"/>
          </w:rPr>
          <w:t>Full text</w:t>
        </w:r>
      </w:hyperlink>
    </w:p>
    <w:p>
      <w:pPr>
        <w:keepLines/>
        <w:spacing w:after="140"/>
      </w:pPr>
      <w:r>
        <w:rPr>
          <w:sz w:val="19"/>
        </w:rPr>
        <w:t xml:space="preserve">[4] Hanoi People’s Committee. Plan 52/KH-UBND, 6 February 2026. </w:t>
      </w:r>
      <w:hyperlink r:id="rId16">
        <w:r>
          <w:rPr>
            <w:color w:val="24577A"/>
            <w:u w:val="single"/>
          </w:rPr>
          <w:t>Official summary</w:t>
        </w:r>
      </w:hyperlink>
    </w:p>
    <w:p>
      <w:pPr>
        <w:keepLines/>
        <w:spacing w:after="140"/>
      </w:pPr>
      <w:r>
        <w:rPr>
          <w:sz w:val="19"/>
        </w:rPr>
        <w:t xml:space="preserve">[5] Hanoi People’s Council. Resolution 08/2025/NQ-HĐND, 29 April 2025; Annex, item 263. </w:t>
      </w:r>
      <w:hyperlink r:id="rId17">
        <w:r>
          <w:rPr>
            <w:color w:val="24577A"/>
            <w:u w:val="single"/>
          </w:rPr>
          <w:t>Official record</w:t>
        </w:r>
      </w:hyperlink>
      <w:r>
        <w:rPr>
          <w:sz w:val="19"/>
        </w:rPr>
        <w:t xml:space="preserve"> | </w:t>
      </w:r>
      <w:hyperlink r:id="rId18">
        <w:r>
          <w:rPr>
            <w:color w:val="24577A"/>
            <w:u w:val="single"/>
          </w:rPr>
          <w:t>Full text</w:t>
        </w:r>
      </w:hyperlink>
    </w:p>
    <w:p>
      <w:pPr>
        <w:keepLines/>
        <w:spacing w:after="140"/>
      </w:pPr>
      <w:r>
        <w:rPr>
          <w:sz w:val="19"/>
        </w:rPr>
        <w:t xml:space="preserve">[6] Hanoi People’s Council. Resolution 23/2025/NQ-HĐND, 10 July 2025. </w:t>
      </w:r>
      <w:hyperlink r:id="rId19">
        <w:r>
          <w:rPr>
            <w:color w:val="24577A"/>
            <w:u w:val="single"/>
          </w:rPr>
          <w:t>Official record</w:t>
        </w:r>
      </w:hyperlink>
      <w:r>
        <w:rPr>
          <w:sz w:val="19"/>
        </w:rPr>
        <w:t xml:space="preserve"> | </w:t>
      </w:r>
      <w:hyperlink r:id="rId20">
        <w:r>
          <w:rPr>
            <w:color w:val="24577A"/>
            <w:u w:val="single"/>
          </w:rPr>
          <w:t>Full text</w:t>
        </w:r>
      </w:hyperlink>
    </w:p>
    <w:p>
      <w:pPr>
        <w:keepLines/>
        <w:spacing w:after="140"/>
      </w:pPr>
      <w:r>
        <w:rPr>
          <w:sz w:val="19"/>
        </w:rPr>
        <w:t xml:space="preserve">[7] Hanoi People’s Committee. Plan 354/KH-UBND, 21 September 2026. </w:t>
      </w:r>
      <w:hyperlink r:id="rId21">
        <w:r>
          <w:rPr>
            <w:color w:val="24577A"/>
            <w:u w:val="single"/>
          </w:rPr>
          <w:t>Official implementation summary</w:t>
        </w:r>
      </w:hyperlink>
    </w:p>
    <w:p>
      <w:pPr>
        <w:keepLines/>
        <w:spacing w:after="140"/>
      </w:pPr>
      <w:r>
        <w:rPr>
          <w:sz w:val="19"/>
        </w:rPr>
        <w:t xml:space="preserve">[8] Kien Hung Ward official portal. Measures to reduce plastic emissions in Hanoi, 29 July 2025, reporting Article 7 of Resolution 22. </w:t>
      </w:r>
      <w:hyperlink r:id="rId22">
        <w:r>
          <w:rPr>
            <w:color w:val="24577A"/>
            <w:u w:val="single"/>
          </w:rPr>
          <w:t>Official article</w:t>
        </w:r>
      </w:hyperlink>
    </w:p>
    <w:sectPr w:rsidR="00FC693F" w:rsidRPr="0006063C" w:rsidSect="00034616">
      <w:footerReference w:type="default" r:id="rId9"/>
      <w:pgSz w:w="12240" w:h="15840"/>
      <w:pgMar w:top="936" w:right="1008" w:bottom="936" w:left="1008" w:header="72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20"/>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eastAsia="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eastAsia="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eastAsia="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vanban.hanoi.gov.vn/chi-tiet-van-ban/ve-viec-quy-dinh-quan-ly-chat-thai-ran-sinh-hoat-cua-ho-gia-dinh-ca-nhan-tren-dia-ban-thanh-pho-ha--231176" TargetMode="External"/><Relationship Id="rId11" Type="http://schemas.openxmlformats.org/officeDocument/2006/relationships/hyperlink" Target="https://thuvienphapluat.vn/van-ban/Tai-nguyen-Moi-truong/Quyet-dinh-87-2025-QD-UBND-quan-ly-chat-thai-ran-sinh-hoat-cua-ho-gia-dinh-ca-nhan-Ha-Noi-687687.aspx" TargetMode="External"/><Relationship Id="rId12" Type="http://schemas.openxmlformats.org/officeDocument/2006/relationships/hyperlink" Target="https://vanban.hanoi.gov.vn/van-ban-quy-pham-phap-luat/ve-quy-dinh-bien-phap-giam-phat-thai-nhua-tren-dia-ban-thanh-pho-ha-noi-thuc-hien-diem-d-khoan-2-221665" TargetMode="External"/><Relationship Id="rId13" Type="http://schemas.openxmlformats.org/officeDocument/2006/relationships/hyperlink" Target="https://thuvienphapluat.vn/van-ban/Tai-nguyen-Moi-truong/Nghi-quyet-22-2025-NQ-HDND-bien-phap-giam-phat-thai-nhua-Ha-Noi-665924.aspx" TargetMode="External"/><Relationship Id="rId14" Type="http://schemas.openxmlformats.org/officeDocument/2006/relationships/hyperlink" Target="https://hanoi.gov.vn/chi-dao-cua-ubnd-thanh-pho-ha-noi/tang-cuong-cong-tac-quan-ly-chat-thai-nhua-va-cac-giai-phap-giam-phat-thai-nhua-4260106152521815.htm" TargetMode="External"/><Relationship Id="rId15" Type="http://schemas.openxmlformats.org/officeDocument/2006/relationships/hyperlink" Target="https://thuvienphapluat.vn/van-ban/Tai-nguyen-Moi-truong/Ke-hoach-04-KH-UBND-2026-tang-cuong-cong-tac-quan-ly-chat-thai-nhua-Ha-Noi-688674.aspx" TargetMode="External"/><Relationship Id="rId16" Type="http://schemas.openxmlformats.org/officeDocument/2006/relationships/hyperlink" Target="https://hanoi.gov.vn/chi-dao-cua-ubnd-thanh-pho-ha-noi/phat-dong-phong-trao-toan-dan-tham-gia-bao-ve-moi-truong-vi-thu-do-sang-xanh-sach-dep-4260209083306597.htm" TargetMode="External"/><Relationship Id="rId17" Type="http://schemas.openxmlformats.org/officeDocument/2006/relationships/hyperlink" Target="https://vanban.hanoi.gov.vn/chi-tiet-van-ban/ve-viec-quy-dinh-muc-tien-phat-doi-voi-hanh-vi-vi-pham-hanh-chinh-trong-linh-vuc-bao-ve-moi-truong--221396" TargetMode="External"/><Relationship Id="rId18" Type="http://schemas.openxmlformats.org/officeDocument/2006/relationships/hyperlink" Target="https://thuvienphapluat.vn/van-ban/Bo-may-hanh-chinh/Nghi-quyet-08-2025-NQ-HDND-muc-tien-phat-hanh-vi-vi-pham-hanh-chinh-bao-ve-moi-truong-Ha-Noi-657469.aspx" TargetMode="External"/><Relationship Id="rId19" Type="http://schemas.openxmlformats.org/officeDocument/2006/relationships/hyperlink" Target="https://vanban.hanoi.gov.vn/chi-tiet-van-ban/ve-viec-quy-dinh-bien-phap-ho-tro-uu-dai-doi-voi-hoat-dong-tai-che-rac-thai-su-dung-ky-thuat-hien-c-221668" TargetMode="External"/><Relationship Id="rId20" Type="http://schemas.openxmlformats.org/officeDocument/2006/relationships/hyperlink" Target="https://thuvienphapluat.vn/van-ban/Tai-nguyen-Moi-truong/Nghi-quyet-23-2025-NQ-HDND-bien-phap-ho-tro-tai-che-rac-thai-su-dung-ky-thuat-hien-co-tot-nhat-Ha-Noi-665925.aspx?rel=chu-de" TargetMode="External"/><Relationship Id="rId21" Type="http://schemas.openxmlformats.org/officeDocument/2006/relationships/hyperlink" Target="https://www.hhtip.hanoi.gov.vn/vi/tin-tuc/ha-noi-tang-cuong-quan-ly-chat-thai-ran-cong-nghiep-huong-toi-phat-trien-ben-vung-2910.html" TargetMode="External"/><Relationship Id="rId22" Type="http://schemas.openxmlformats.org/officeDocument/2006/relationships/hyperlink" Target="https://kienhung.hanoi.gov.vn/tin-tuc-cua-hdnd/bien-phap-giam-phat-thai-nhua-tren-dia-ban-thanh-pho-ha-noi-281025072914575725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Hanoi policies on waste separation and plastic reduction</dc:title>
  <dc:subject>English policy brief updated 14 October 2026</dc:subject>
  <dc:creator/>
  <cp:keywords>Hanoi, waste separation, plastic reduction, policy brief</cp:keywords>
  <dc:description/>
  <cp:lastModifiedBy/>
  <cp:revision>1</cp:revision>
  <dcterms:created xsi:type="dcterms:W3CDTF">2013-12-23T23:15:00Z</dcterms:created>
  <dcterms:modified xsi:type="dcterms:W3CDTF">2013-12-23T23:15:00Z</dcterms:modified>
  <cp:category/>
</cp:coreProperties>
</file>